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bf4167" w:sz="24"/>
          <w:left w:val="thick" w:color="bf4167" w:sz="24"/>
          <w:bottom w:val="thick" w:color="bf4167" w:sz="24"/>
          <w:right w:val="thick" w:color="bf4167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The smartphone</w:t>
            </w:r>
          </w:p>
          <w:p>
            <w:pPr>
              <w:pStyle w:val="default"/>
            </w:pPr>
            <w:r>
              <w:t xml:space="preserve">Imagine you found a smartphone. You open it, you don't have to enter a pin… Who could it belong to?</w:t>
            </w:r>
          </w:p>
        </w:tc>
      </w:tr>
    </w:tbl>
    <w:tbl>
      <w:tblPr>
        <w:tblW w:type="pct" w:w="100%"/>
        <w:tblBorders>
          <w:top w:val="thick" w:color="41bbbf" w:sz="24"/>
          <w:left w:val="thick" w:color="41bbbf" w:sz="24"/>
          <w:bottom w:val="thick" w:color="41bbbf" w:sz="24"/>
          <w:right w:val="thick" w:color="41bbb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Chat</w:t>
            </w:r>
          </w:p>
          <w:p>
            <w:pPr>
              <w:pStyle w:val="default"/>
            </w:pPr>
            <w:r>
              <w:t xml:space="preserve">You open the Chat and see this conversation...</w:t>
            </w:r>
          </w:p>
        </w:tc>
      </w:tr>
    </w:tbl>
    <w:p>
      <w:pPr>
        <w:pStyle w:val="strong"/>
      </w:pPr>
      <w:r>
        <w:t xml:space="preserve">Unknown Number</w:t>
      </w:r>
    </w:p>
    <w:p>
      <w:pPr>
        <w:pStyle w:val="default"/>
        <w:jc w:val="right"/>
      </w:pPr>
      <w:r>
        <w:t xml:space="preserve">Hello old sport, it's been a while. How have you been?</w:t>
      </w:r>
    </w:p>
    <w:p>
      <w:pPr>
        <w:pStyle w:val="default"/>
        <w:jc w:val="left"/>
      </w:pPr>
      <w:r>
        <w:t xml:space="preserve">I've been fine, thank you. How's everything at your mansion?</w:t>
      </w:r>
    </w:p>
    <w:p>
      <w:pPr>
        <w:pStyle w:val="default"/>
        <w:jc w:val="right"/>
      </w:pPr>
      <w:r>
        <w:t xml:space="preserve">The parties are as grand as ever. You should come by one evening.</w:t>
      </w:r>
    </w:p>
    <w:p>
      <w:pPr>
        <w:pStyle w:val="default"/>
        <w:jc w:val="left"/>
      </w:pPr>
      <w:r>
        <w:t xml:space="preserve">I might just take you up on that. Are you still longing for the past?</w:t>
      </w:r>
    </w:p>
    <w:p>
      <w:pPr>
        <w:pStyle w:val="default"/>
        <w:jc w:val="right"/>
      </w:pPr>
      <w:r>
        <w:t xml:space="preserve">Some things are hard to let go of, especially when they mean so much.</w:t>
      </w:r>
    </w:p>
    <w:p>
      <w:pPr>
        <w:pStyle w:val="default"/>
        <w:jc w:val="left"/>
      </w:pPr>
      <w:r>
        <w:t xml:space="preserve">I understand. Sometimes it feels like we're all chasing dreams, doesn't it?</w:t>
      </w:r>
    </w:p>
    <w:p>
      <w:pPr>
        <w:pStyle w:val="default"/>
        <w:jc w:val="right"/>
      </w:pPr>
      <w:r>
        <w:t xml:space="preserve">Indeed, but some dreams are worth chasing, no matter the cost.</w:t>
      </w:r>
    </w:p>
    <w:p>
      <w:pPr>
        <w:pStyle w:val="default"/>
        <w:jc w:val="left"/>
      </w:pPr>
      <w:r>
        <w:t xml:space="preserve">I hope you find what you're looking for. See you at the next party, old sport.</w:t>
      </w:r>
    </w:p>
    <w:p>
      <w:r>
        <w:br w:type="page"/>
      </w:r>
    </w:p>
    <w:tbl>
      <w:tblPr>
        <w:tblW w:type="pct" w:w="100%"/>
        <w:tblBorders>
          <w:top w:val="thick" w:color="41bbbf" w:sz="24"/>
          <w:left w:val="thick" w:color="41bbbf" w:sz="24"/>
          <w:bottom w:val="thick" w:color="41bbbf" w:sz="24"/>
          <w:right w:val="thick" w:color="41bbb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The photo album</w:t>
            </w:r>
          </w:p>
          <w:p>
            <w:pPr>
              <w:pStyle w:val="default"/>
            </w:pPr>
            <w:r>
              <w:t xml:space="preserve">You open the gallery on the phone and find these images...</w:t>
            </w:r>
          </w:p>
        </w:tc>
      </w:tr>
    </w:tbl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3212"/>
        <w:gridCol w:w="3212"/>
        <w:gridCol w:w="3212"/>
      </w:tblGrid>
      <w:tr>
        <w:trPr>
          <w:trHeight w:val="1800" w:hRule="atLeast"/>
        </w:trPr>
        <w:tc>
          <w:p>
            <w:pPr>
              <w:pStyle w:val="label"/>
            </w:pP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655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</w:p>
          <w:p>
            <w:pPr>
              <w:pStyle w:val="small"/>
            </w:pPr>
          </w:p>
        </w:tc>
        <w:tc>
          <w:p>
            <w:pPr>
              <w:pStyle w:val="label"/>
            </w:pP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656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</w:p>
          <w:p>
            <w:pPr>
              <w:pStyle w:val="small"/>
            </w:pPr>
          </w:p>
        </w:tc>
        <w:tc>
          <w:p>
            <w:pPr>
              <w:pStyle w:val="label"/>
            </w:pP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65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</w:p>
          <w:p>
            <w:pPr>
              <w:pStyle w:val="small"/>
            </w:pPr>
          </w:p>
        </w:tc>
      </w:tr>
    </w:tbl>
    <w:tbl>
      <w:tblPr>
        <w:tblW w:type="pct" w:w="100%"/>
        <w:tblBorders>
          <w:top w:val="thick" w:color="41bbbf" w:sz="24"/>
          <w:left w:val="thick" w:color="41bbbf" w:sz="24"/>
          <w:bottom w:val="thick" w:color="41bbbf" w:sz="24"/>
          <w:right w:val="thick" w:color="41bbb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The voice message</w:t>
            </w:r>
          </w:p>
          <w:p>
            <w:pPr>
              <w:pStyle w:val="default"/>
            </w:pPr>
            <w:r>
              <w:t xml:space="preserve">You continue looking through the phone and discover this voice message. Listen to it.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658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https://to-teach.ai/worksheet/9rP5cgK47Np5jOPVyLZE</w:t>
            </w:r>
          </w:p>
        </w:tc>
      </w:tr>
    </w:tbl>
    <w:p>
      <w:r>
        <w:br w:type="page"/>
      </w:r>
    </w:p>
    <w:p>
      <w:pPr>
        <w:pStyle w:val="Heading3"/>
      </w:pPr>
      <w:r>
        <w:t xml:space="preserve">Tick the correct box.</w:t>
      </w:r>
    </w:p>
    <w:p>
      <w:pPr>
        <w:pStyle w:val="Heading6"/>
      </w:pPr>
      <w:r>
        <w:rPr>
          <w:b/>
          <w:bCs/>
        </w:rPr>
        <w:t xml:space="preserve">The speaker built everything for Daisy.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speaker never imagined seeing Daisy again.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speaker questions if the effort was worth it.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speaker is indifferent about losing Daisy again.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3"/>
      </w:pPr>
      <w:r>
        <w:t xml:space="preserve">Whose smartphone is it? What do you think?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Literature Smartphone Puzzle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5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5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5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5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bbkhshghmsciqv9a78yga.png"/><Relationship Id="rId8" Type="http://schemas.openxmlformats.org/officeDocument/2006/relationships/image" Target="media/z3yg770oxkh03sk7t6edt.png"/><Relationship Id="rId9" Type="http://schemas.openxmlformats.org/officeDocument/2006/relationships/image" Target="media/is8mbioasiwjfz3jkgj8v.png"/><Relationship Id="rId10" Type="http://schemas.openxmlformats.org/officeDocument/2006/relationships/image" Target="media/njlqxa8nireynwzpv0mll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num5jrvonvjxfaau_ndxp.png"/><Relationship Id="rId1" Type="http://schemas.openxmlformats.org/officeDocument/2006/relationships/image" Target="media/rrln7dodhh9vdxs3conq5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2025-06-05T22:10:24.444Z</dcterms:created>
  <dcterms:modified xsi:type="dcterms:W3CDTF">2025-06-05T22:10:24.444Z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